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E11FE" w:rsidRDefault="002A522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00000002" w14:textId="6D7AB919"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4" w14:textId="74EB6407" w:rsidR="009E11FE" w:rsidRPr="005D32C2" w:rsidRDefault="002A5221" w:rsidP="005D32C2">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w:t>
      </w:r>
      <w:commentRangeStart w:id="0"/>
      <w:r>
        <w:rPr>
          <w:rFonts w:ascii="Arial" w:eastAsia="Arial" w:hAnsi="Arial"/>
          <w:color w:val="000000"/>
          <w:sz w:val="24"/>
          <w:szCs w:val="24"/>
        </w:rPr>
        <w:t>Insurances</w:t>
      </w:r>
      <w:commentRangeEnd w:id="0"/>
      <w:r w:rsidR="00B33801">
        <w:rPr>
          <w:rStyle w:val="CommentReference"/>
        </w:rPr>
        <w:commentReference w:id="0"/>
      </w:r>
      <w:r>
        <w:rPr>
          <w:rFonts w:ascii="Arial" w:eastAsia="Arial" w:hAnsi="Arial"/>
          <w:color w:val="000000"/>
          <w:sz w:val="24"/>
          <w:szCs w:val="24"/>
        </w:rPr>
        <w:t xml:space="preserve"> is effective no later than </w:t>
      </w:r>
      <w:r w:rsidRPr="005D32C2">
        <w:rPr>
          <w:rFonts w:ascii="Arial" w:eastAsia="Arial" w:hAnsi="Arial"/>
          <w:color w:val="000000"/>
          <w:sz w:val="24"/>
          <w:szCs w:val="24"/>
        </w:rPr>
        <w:t xml:space="preserve">the Start Date in respect of those Insurances set out in the Annex to this Schedule and those required by applicable Law; and </w:t>
      </w:r>
    </w:p>
    <w:p w14:paraId="00000005" w14:textId="77777777" w:rsidR="009E11FE" w:rsidRDefault="002A52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6"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7"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8" w14:textId="77777777" w:rsidR="009E11FE" w:rsidRDefault="002A522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9" w14:textId="0569616C" w:rsidR="009E11FE" w:rsidRDefault="003D0C0D">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until the End Date except in relation to Professional Indemnity where required under the Annex Part </w:t>
      </w:r>
      <w:r w:rsidR="00A567B4">
        <w:rPr>
          <w:rFonts w:ascii="Arial" w:eastAsia="Arial" w:hAnsi="Arial"/>
          <w:color w:val="000000"/>
          <w:sz w:val="24"/>
          <w:szCs w:val="24"/>
        </w:rPr>
        <w:t>C</w:t>
      </w:r>
      <w:r>
        <w:rPr>
          <w:rFonts w:ascii="Arial" w:eastAsia="Arial" w:hAnsi="Arial"/>
          <w:color w:val="000000"/>
          <w:sz w:val="24"/>
          <w:szCs w:val="24"/>
        </w:rPr>
        <w:t xml:space="preserve"> which shall be </w:t>
      </w:r>
      <w:r w:rsidR="002A5221">
        <w:rPr>
          <w:rFonts w:ascii="Arial" w:eastAsia="Arial" w:hAnsi="Arial"/>
          <w:color w:val="000000"/>
          <w:sz w:val="24"/>
          <w:szCs w:val="24"/>
        </w:rPr>
        <w:t>maintained for at least six (6) years after the End Date.</w:t>
      </w:r>
    </w:p>
    <w:p w14:paraId="0000000A" w14:textId="5747201B"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0000000B"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C" w14:textId="77777777" w:rsidR="009E11FE" w:rsidRDefault="002A522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D"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E"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0F" w14:textId="77777777" w:rsidR="009E11FE" w:rsidRDefault="002A522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0"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0000011"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2"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00000013"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4"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Buyer, that the Insurances are in force and effect and meet in full the requirements of this Schedule.</w:t>
      </w:r>
    </w:p>
    <w:p w14:paraId="00000015"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 w:name="_Ref89420263"/>
      <w:r>
        <w:rPr>
          <w:rFonts w:ascii="Arial Bold" w:eastAsia="Arial Bold" w:hAnsi="Arial Bold" w:cs="Arial Bold"/>
          <w:b/>
          <w:color w:val="000000"/>
          <w:sz w:val="24"/>
          <w:szCs w:val="24"/>
        </w:rPr>
        <w:t>Making sure you are insured to the required amount</w:t>
      </w:r>
      <w:bookmarkEnd w:id="2"/>
    </w:p>
    <w:p w14:paraId="00000016"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3" w:name="_heading=h.30j0zll" w:colFirst="0" w:colLast="0"/>
      <w:bookmarkStart w:id="4" w:name="_Ref88639486"/>
      <w:bookmarkEnd w:id="3"/>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bookmarkEnd w:id="4"/>
    </w:p>
    <w:p w14:paraId="00000017"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8"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00000019"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A" w14:textId="77777777" w:rsidR="009E11FE" w:rsidRDefault="002A5221">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B" w14:textId="7777777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14:paraId="0000001C" w14:textId="0C50B5F5"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of </w:t>
      </w:r>
      <w:r w:rsidR="00F231BD" w:rsidRPr="008A5DEA">
        <w:rPr>
          <w:rFonts w:ascii="Arial" w:hAnsi="Arial"/>
          <w:b/>
          <w:sz w:val="24"/>
          <w:szCs w:val="24"/>
          <w:highlight w:val="yellow"/>
        </w:rPr>
        <w:t>[£to be determined by the Buyer]</w:t>
      </w:r>
      <w:r w:rsidR="00F231BD" w:rsidRPr="008A5DEA">
        <w:rPr>
          <w:rFonts w:ascii="Arial" w:hAnsi="Arial"/>
          <w:sz w:val="24"/>
          <w:szCs w:val="24"/>
        </w:rPr>
        <w:t xml:space="preserve"> </w:t>
      </w:r>
      <w:r>
        <w:rPr>
          <w:rFonts w:ascii="Arial" w:eastAsia="Arial" w:hAnsi="Arial"/>
          <w:color w:val="000000"/>
          <w:sz w:val="24"/>
          <w:szCs w:val="24"/>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0000001D" w14:textId="695428F7" w:rsidR="009E11FE" w:rsidRDefault="002A522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Where any Insurance requires payment of a premium, the Supplier shall be liable for and shall promptly pay such premium.</w:t>
      </w:r>
    </w:p>
    <w:p w14:paraId="0000001E" w14:textId="77777777" w:rsidR="009E11FE" w:rsidRDefault="002A5221">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5BFB3AE1" w14:textId="149512C2" w:rsidR="003D0C0D" w:rsidRDefault="003D0C0D" w:rsidP="003D0C0D">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35FD4B3C" w14:textId="77777777" w:rsidR="00121384" w:rsidRDefault="00121384" w:rsidP="003D0C0D">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1FA9DA47" w14:textId="3DDE2FCD" w:rsidR="003D0C0D" w:rsidRPr="000A68B8" w:rsidRDefault="003D0C0D" w:rsidP="003D0C0D">
      <w:pPr>
        <w:overflowPunct/>
        <w:autoSpaceDE/>
        <w:autoSpaceDN/>
        <w:adjustRightInd/>
        <w:spacing w:before="100" w:after="200"/>
        <w:textAlignment w:val="auto"/>
        <w:rPr>
          <w:rFonts w:ascii="Arial Bold" w:hAnsi="Arial Bold" w:cs="Times New Roman"/>
          <w:b/>
          <w:caps/>
          <w:sz w:val="24"/>
          <w:szCs w:val="24"/>
        </w:rPr>
      </w:pPr>
      <w:r>
        <w:rPr>
          <w:rFonts w:ascii="Arial Bold" w:hAnsi="Arial Bold" w:cs="Times New Roman"/>
          <w:b/>
          <w:caps/>
          <w:sz w:val="24"/>
          <w:szCs w:val="24"/>
        </w:rPr>
        <w:t xml:space="preserve">PART </w:t>
      </w:r>
      <w:r w:rsidR="00F231BD">
        <w:rPr>
          <w:rFonts w:ascii="Arial Bold" w:hAnsi="Arial Bold" w:cs="Times New Roman"/>
          <w:b/>
          <w:caps/>
          <w:sz w:val="24"/>
          <w:szCs w:val="24"/>
        </w:rPr>
        <w:t>A</w:t>
      </w:r>
      <w:r w:rsidRPr="000A68B8">
        <w:rPr>
          <w:rFonts w:ascii="Arial Bold" w:hAnsi="Arial Bold" w:cs="Times New Roman"/>
          <w:b/>
          <w:caps/>
          <w:sz w:val="24"/>
          <w:szCs w:val="24"/>
        </w:rPr>
        <w:t>: THIRD PARTY PUBLIC AND PRODUCTS LIABILITY INSURANCE</w:t>
      </w:r>
    </w:p>
    <w:p w14:paraId="5227A1D8" w14:textId="77777777" w:rsidR="003D0C0D" w:rsidRPr="000A68B8" w:rsidRDefault="003D0C0D" w:rsidP="003D0C0D">
      <w:pPr>
        <w:overflowPunct/>
        <w:autoSpaceDE/>
        <w:autoSpaceDN/>
        <w:adjustRightInd/>
        <w:spacing w:before="100" w:after="200"/>
        <w:ind w:left="720" w:hanging="720"/>
        <w:jc w:val="left"/>
        <w:textAlignment w:val="auto"/>
        <w:rPr>
          <w:rFonts w:ascii="Arial" w:hAnsi="Arial" w:cs="Times New Roman"/>
          <w:b/>
          <w:sz w:val="24"/>
          <w:szCs w:val="24"/>
        </w:rPr>
      </w:pPr>
      <w:r>
        <w:rPr>
          <w:rFonts w:ascii="Arial" w:hAnsi="Arial" w:cs="Times New Roman"/>
          <w:b/>
          <w:sz w:val="24"/>
          <w:szCs w:val="24"/>
        </w:rPr>
        <w:t>1</w:t>
      </w:r>
      <w:r>
        <w:rPr>
          <w:rFonts w:ascii="Arial" w:hAnsi="Arial" w:cs="Times New Roman"/>
          <w:b/>
          <w:sz w:val="24"/>
          <w:szCs w:val="24"/>
        </w:rPr>
        <w:tab/>
      </w:r>
      <w:r w:rsidRPr="000A68B8">
        <w:rPr>
          <w:rFonts w:ascii="Arial" w:hAnsi="Arial" w:cs="Times New Roman"/>
          <w:b/>
          <w:sz w:val="24"/>
          <w:szCs w:val="24"/>
        </w:rPr>
        <w:t xml:space="preserve">Insured </w:t>
      </w:r>
    </w:p>
    <w:p w14:paraId="5578C352" w14:textId="77777777" w:rsidR="003D0C0D" w:rsidRPr="000A68B8" w:rsidRDefault="003D0C0D" w:rsidP="003D0C0D">
      <w:pPr>
        <w:numPr>
          <w:ilvl w:val="1"/>
          <w:numId w:val="9"/>
        </w:numPr>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The Supplier</w:t>
      </w:r>
    </w:p>
    <w:p w14:paraId="14E9F131" w14:textId="77777777" w:rsidR="003D0C0D" w:rsidRPr="000A68B8" w:rsidRDefault="003D0C0D" w:rsidP="003D0C0D">
      <w:pPr>
        <w:numPr>
          <w:ilvl w:val="0"/>
          <w:numId w:val="9"/>
        </w:numPr>
        <w:overflowPunct/>
        <w:autoSpaceDE/>
        <w:autoSpaceDN/>
        <w:adjustRightInd/>
        <w:spacing w:before="100" w:after="200"/>
        <w:jc w:val="left"/>
        <w:textAlignment w:val="auto"/>
        <w:rPr>
          <w:rFonts w:ascii="Arial" w:hAnsi="Arial" w:cs="Times New Roman"/>
          <w:b/>
          <w:sz w:val="24"/>
          <w:szCs w:val="24"/>
        </w:rPr>
      </w:pPr>
      <w:r w:rsidRPr="000A68B8">
        <w:rPr>
          <w:rFonts w:ascii="Arial" w:hAnsi="Arial" w:cs="Times New Roman"/>
          <w:b/>
          <w:sz w:val="24"/>
          <w:szCs w:val="24"/>
        </w:rPr>
        <w:t>Interest</w:t>
      </w:r>
    </w:p>
    <w:p w14:paraId="6DD69474" w14:textId="77777777" w:rsidR="003D0C0D" w:rsidRPr="000A68B8" w:rsidRDefault="003D0C0D" w:rsidP="003D0C0D">
      <w:pPr>
        <w:numPr>
          <w:ilvl w:val="1"/>
          <w:numId w:val="9"/>
        </w:numPr>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To indemnify the Insured in respect of all sums which the Insured shall become legally liable to pay as damages, including claimant's costs and expenses, in respect of accidental:</w:t>
      </w:r>
    </w:p>
    <w:p w14:paraId="5C0A140F" w14:textId="77777777" w:rsidR="003D0C0D" w:rsidRPr="000A68B8" w:rsidRDefault="003D0C0D" w:rsidP="003D0C0D">
      <w:pPr>
        <w:numPr>
          <w:ilvl w:val="3"/>
          <w:numId w:val="9"/>
        </w:numPr>
        <w:tabs>
          <w:tab w:val="left" w:pos="720"/>
          <w:tab w:val="left" w:pos="1803"/>
        </w:tabs>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death or bodily injury to or sickness, illness or disease contracted by any person; and</w:t>
      </w:r>
    </w:p>
    <w:p w14:paraId="09B06F46" w14:textId="77777777" w:rsidR="003D0C0D" w:rsidRPr="000A68B8" w:rsidRDefault="003D0C0D" w:rsidP="003D0C0D">
      <w:pPr>
        <w:numPr>
          <w:ilvl w:val="3"/>
          <w:numId w:val="9"/>
        </w:numPr>
        <w:tabs>
          <w:tab w:val="left" w:pos="720"/>
          <w:tab w:val="left" w:pos="1803"/>
        </w:tabs>
        <w:overflowPunct/>
        <w:autoSpaceDE/>
        <w:autoSpaceDN/>
        <w:adjustRightInd/>
        <w:spacing w:before="100" w:after="200"/>
        <w:jc w:val="left"/>
        <w:textAlignment w:val="auto"/>
        <w:rPr>
          <w:rFonts w:ascii="Arial" w:hAnsi="Arial" w:cs="Times New Roman"/>
          <w:sz w:val="24"/>
          <w:szCs w:val="24"/>
        </w:rPr>
      </w:pPr>
      <w:r w:rsidRPr="000A68B8">
        <w:rPr>
          <w:rFonts w:ascii="Arial" w:hAnsi="Arial" w:cs="Times New Roman"/>
          <w:sz w:val="24"/>
          <w:szCs w:val="24"/>
        </w:rPr>
        <w:t>loss of or damage to physical property;</w:t>
      </w:r>
    </w:p>
    <w:p w14:paraId="50A99284" w14:textId="0FDCA29E" w:rsidR="003D0C0D" w:rsidRPr="000A68B8" w:rsidRDefault="003D0C0D" w:rsidP="003D0C0D">
      <w:pPr>
        <w:overflowPunct/>
        <w:autoSpaceDE/>
        <w:autoSpaceDN/>
        <w:adjustRightInd/>
        <w:spacing w:before="100" w:after="200"/>
        <w:ind w:left="720"/>
        <w:jc w:val="left"/>
        <w:textAlignment w:val="auto"/>
        <w:rPr>
          <w:rFonts w:ascii="Arial" w:hAnsi="Arial" w:cs="Times New Roman"/>
          <w:sz w:val="24"/>
          <w:szCs w:val="24"/>
        </w:rPr>
      </w:pPr>
      <w:r w:rsidRPr="000A68B8">
        <w:rPr>
          <w:rFonts w:ascii="Arial" w:hAnsi="Arial" w:cs="Times New Roman"/>
          <w:sz w:val="24"/>
          <w:szCs w:val="24"/>
        </w:rPr>
        <w:t xml:space="preserve">happening during the period of insurance (as specified in Paragraph </w:t>
      </w:r>
      <w:r w:rsidR="006159BE">
        <w:rPr>
          <w:rFonts w:ascii="Arial" w:hAnsi="Arial" w:cs="Times New Roman"/>
          <w:sz w:val="24"/>
          <w:szCs w:val="24"/>
        </w:rPr>
        <w:fldChar w:fldCharType="begin"/>
      </w:r>
      <w:r w:rsidR="006159BE">
        <w:rPr>
          <w:rFonts w:ascii="Arial" w:hAnsi="Arial" w:cs="Times New Roman"/>
          <w:sz w:val="24"/>
          <w:szCs w:val="24"/>
        </w:rPr>
        <w:instrText xml:space="preserve"> REF _Ref89420263 \r \h </w:instrText>
      </w:r>
      <w:r w:rsidR="006159BE">
        <w:rPr>
          <w:rFonts w:ascii="Arial" w:hAnsi="Arial" w:cs="Times New Roman"/>
          <w:sz w:val="24"/>
          <w:szCs w:val="24"/>
        </w:rPr>
      </w:r>
      <w:r w:rsidR="006159BE">
        <w:rPr>
          <w:rFonts w:ascii="Arial" w:hAnsi="Arial" w:cs="Times New Roman"/>
          <w:sz w:val="24"/>
          <w:szCs w:val="24"/>
        </w:rPr>
        <w:fldChar w:fldCharType="separate"/>
      </w:r>
      <w:r w:rsidR="006159BE">
        <w:rPr>
          <w:rFonts w:ascii="Arial" w:hAnsi="Arial" w:cs="Times New Roman"/>
          <w:sz w:val="24"/>
          <w:szCs w:val="24"/>
        </w:rPr>
        <w:t>5</w:t>
      </w:r>
      <w:r w:rsidR="006159BE">
        <w:rPr>
          <w:rFonts w:ascii="Arial" w:hAnsi="Arial" w:cs="Times New Roman"/>
          <w:sz w:val="24"/>
          <w:szCs w:val="24"/>
        </w:rPr>
        <w:fldChar w:fldCharType="end"/>
      </w:r>
      <w:r w:rsidRPr="000A68B8">
        <w:rPr>
          <w:rFonts w:ascii="Arial" w:hAnsi="Arial" w:cs="Times New Roman"/>
          <w:sz w:val="24"/>
          <w:szCs w:val="24"/>
        </w:rPr>
        <w:t xml:space="preserve">) and arising out of or in connection with the provision of the </w:t>
      </w:r>
      <w:r>
        <w:rPr>
          <w:rFonts w:ascii="Arial" w:hAnsi="Arial" w:cs="Times New Roman"/>
          <w:sz w:val="24"/>
          <w:szCs w:val="24"/>
        </w:rPr>
        <w:t>Deliverables</w:t>
      </w:r>
      <w:r w:rsidRPr="000A68B8">
        <w:rPr>
          <w:rFonts w:ascii="Arial" w:hAnsi="Arial" w:cs="Times New Roman"/>
          <w:sz w:val="24"/>
          <w:szCs w:val="24"/>
        </w:rPr>
        <w:t xml:space="preserve"> and in connection with this </w:t>
      </w:r>
      <w:r>
        <w:rPr>
          <w:rFonts w:ascii="Arial" w:hAnsi="Arial" w:cs="Times New Roman"/>
          <w:sz w:val="24"/>
          <w:szCs w:val="24"/>
        </w:rPr>
        <w:t>Contract</w:t>
      </w:r>
      <w:r w:rsidRPr="000A68B8">
        <w:rPr>
          <w:rFonts w:ascii="Arial" w:hAnsi="Arial" w:cs="Times New Roman"/>
          <w:sz w:val="24"/>
          <w:szCs w:val="24"/>
        </w:rPr>
        <w:t>.</w:t>
      </w:r>
    </w:p>
    <w:p w14:paraId="1466B3BD"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Limit of indemnity</w:t>
      </w:r>
    </w:p>
    <w:p w14:paraId="430A0EB6"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Not less than </w:t>
      </w:r>
      <w:r w:rsidRPr="008A5DEA">
        <w:rPr>
          <w:rFonts w:ascii="Arial" w:hAnsi="Arial"/>
          <w:b/>
          <w:sz w:val="24"/>
          <w:szCs w:val="24"/>
          <w:highlight w:val="yellow"/>
        </w:rPr>
        <w:t>£[to be determined by the Buyer]</w:t>
      </w:r>
      <w:r w:rsidRPr="008A5DEA">
        <w:rPr>
          <w:rFonts w:ascii="Arial" w:hAnsi="Arial"/>
          <w:sz w:val="24"/>
          <w:szCs w:val="24"/>
        </w:rPr>
        <w:t xml:space="preserve"> in respect of any one occurrence, the number of occurrences being unlimited in any annual policy period, but </w:t>
      </w:r>
      <w:r w:rsidRPr="008A5DEA">
        <w:rPr>
          <w:rFonts w:ascii="Arial" w:hAnsi="Arial"/>
          <w:b/>
          <w:sz w:val="24"/>
          <w:szCs w:val="24"/>
          <w:highlight w:val="yellow"/>
        </w:rPr>
        <w:t>£[to be determined by the Buyer]</w:t>
      </w:r>
      <w:r w:rsidRPr="008A5DEA">
        <w:rPr>
          <w:rFonts w:ascii="Arial" w:hAnsi="Arial"/>
          <w:sz w:val="24"/>
          <w:szCs w:val="24"/>
        </w:rPr>
        <w:t xml:space="preserve"> in the aggregate per annum in respect of products and pollution liability (to the extent insured by the relevant policy).</w:t>
      </w:r>
    </w:p>
    <w:p w14:paraId="73E326AB" w14:textId="77777777" w:rsidR="003D0C0D" w:rsidRPr="00A76402" w:rsidRDefault="003D0C0D" w:rsidP="003D0C0D">
      <w:pPr>
        <w:overflowPunct/>
        <w:autoSpaceDE/>
        <w:autoSpaceDN/>
        <w:adjustRightInd/>
        <w:spacing w:before="100" w:after="200"/>
        <w:ind w:left="720"/>
        <w:jc w:val="left"/>
        <w:textAlignment w:val="auto"/>
        <w:rPr>
          <w:rFonts w:ascii="Arial" w:hAnsi="Arial"/>
          <w:b/>
          <w:i/>
          <w:sz w:val="24"/>
          <w:szCs w:val="24"/>
          <w:highlight w:val="yellow"/>
        </w:rPr>
      </w:pPr>
      <w:r w:rsidRPr="00A76402">
        <w:rPr>
          <w:rFonts w:ascii="Arial" w:hAnsi="Arial"/>
          <w:b/>
          <w:i/>
          <w:sz w:val="24"/>
          <w:szCs w:val="24"/>
          <w:highlight w:val="yellow"/>
        </w:rPr>
        <w:t>[Guidance: The Buyer should set the Limit of Indemnity by way of an insurable risk review (supported by the Buyers professional insurance adviser). The level specified in the limit of indemnity above should be predicated upon:</w:t>
      </w:r>
    </w:p>
    <w:p w14:paraId="03FF472D" w14:textId="77777777" w:rsidR="00121384" w:rsidRDefault="003D0C0D" w:rsidP="00121384">
      <w:pPr>
        <w:pStyle w:val="ListParagraph"/>
        <w:numPr>
          <w:ilvl w:val="0"/>
          <w:numId w:val="11"/>
        </w:numPr>
        <w:tabs>
          <w:tab w:val="left" w:pos="1797"/>
        </w:tabs>
        <w:overflowPunct/>
        <w:autoSpaceDE/>
        <w:autoSpaceDN/>
        <w:adjustRightInd/>
        <w:spacing w:before="100" w:after="200"/>
        <w:jc w:val="left"/>
        <w:textAlignment w:val="auto"/>
        <w:rPr>
          <w:rFonts w:ascii="Arial" w:hAnsi="Arial"/>
          <w:b/>
          <w:i/>
          <w:sz w:val="24"/>
          <w:szCs w:val="24"/>
          <w:highlight w:val="yellow"/>
        </w:rPr>
      </w:pPr>
      <w:r w:rsidRPr="00121384">
        <w:rPr>
          <w:rFonts w:ascii="Arial" w:hAnsi="Arial"/>
          <w:b/>
          <w:i/>
          <w:sz w:val="24"/>
          <w:szCs w:val="24"/>
          <w:highlight w:val="yellow"/>
        </w:rPr>
        <w:t>The risk profile represented by the Buyer requirement in question</w:t>
      </w:r>
    </w:p>
    <w:p w14:paraId="7C3D9D84" w14:textId="77777777" w:rsidR="00121384" w:rsidRDefault="003D0C0D" w:rsidP="00121384">
      <w:pPr>
        <w:pStyle w:val="ListParagraph"/>
        <w:numPr>
          <w:ilvl w:val="0"/>
          <w:numId w:val="11"/>
        </w:numPr>
        <w:tabs>
          <w:tab w:val="left" w:pos="1797"/>
        </w:tabs>
        <w:overflowPunct/>
        <w:autoSpaceDE/>
        <w:autoSpaceDN/>
        <w:adjustRightInd/>
        <w:spacing w:before="100" w:after="200"/>
        <w:jc w:val="left"/>
        <w:textAlignment w:val="auto"/>
        <w:rPr>
          <w:rFonts w:ascii="Arial" w:hAnsi="Arial"/>
          <w:b/>
          <w:i/>
          <w:sz w:val="24"/>
          <w:szCs w:val="24"/>
          <w:highlight w:val="yellow"/>
        </w:rPr>
      </w:pPr>
      <w:r w:rsidRPr="00121384">
        <w:rPr>
          <w:rFonts w:ascii="Arial" w:hAnsi="Arial"/>
          <w:b/>
          <w:i/>
          <w:sz w:val="24"/>
          <w:szCs w:val="24"/>
          <w:highlight w:val="yellow"/>
        </w:rPr>
        <w:t>Potential frequency and severity of claims and losses (not the value of the contract) relative to the risk exposure</w:t>
      </w:r>
    </w:p>
    <w:p w14:paraId="4E54A745" w14:textId="405AF389" w:rsidR="00656E99" w:rsidRPr="00121384" w:rsidRDefault="003D0C0D" w:rsidP="00121384">
      <w:pPr>
        <w:pStyle w:val="ListParagraph"/>
        <w:numPr>
          <w:ilvl w:val="0"/>
          <w:numId w:val="11"/>
        </w:numPr>
        <w:tabs>
          <w:tab w:val="left" w:pos="1797"/>
        </w:tabs>
        <w:overflowPunct/>
        <w:autoSpaceDE/>
        <w:autoSpaceDN/>
        <w:adjustRightInd/>
        <w:spacing w:before="100" w:after="200"/>
        <w:jc w:val="left"/>
        <w:textAlignment w:val="auto"/>
        <w:rPr>
          <w:rFonts w:ascii="Arial" w:hAnsi="Arial"/>
          <w:b/>
          <w:i/>
          <w:sz w:val="24"/>
          <w:szCs w:val="24"/>
          <w:highlight w:val="yellow"/>
        </w:rPr>
      </w:pPr>
      <w:r w:rsidRPr="00121384">
        <w:rPr>
          <w:rFonts w:ascii="Arial" w:hAnsi="Arial"/>
          <w:b/>
          <w:i/>
          <w:sz w:val="24"/>
          <w:szCs w:val="24"/>
          <w:highlight w:val="yellow"/>
        </w:rPr>
        <w:t>Insurance market availability in prevailing insurance market conditions.</w:t>
      </w:r>
    </w:p>
    <w:p w14:paraId="6FE987D6" w14:textId="1E574464" w:rsidR="003D0C0D" w:rsidRPr="00656E99" w:rsidRDefault="00656E99" w:rsidP="00121384">
      <w:pPr>
        <w:numPr>
          <w:ilvl w:val="1"/>
          <w:numId w:val="4"/>
        </w:numPr>
        <w:tabs>
          <w:tab w:val="clear" w:pos="567"/>
          <w:tab w:val="num" w:pos="720"/>
          <w:tab w:val="left" w:pos="1797"/>
        </w:tabs>
        <w:overflowPunct/>
        <w:autoSpaceDE/>
        <w:autoSpaceDN/>
        <w:adjustRightInd/>
        <w:spacing w:before="100" w:after="200"/>
        <w:ind w:left="720"/>
        <w:jc w:val="left"/>
        <w:textAlignment w:val="auto"/>
        <w:rPr>
          <w:rFonts w:ascii="Arial" w:hAnsi="Arial"/>
          <w:b/>
          <w:i/>
          <w:sz w:val="24"/>
          <w:szCs w:val="24"/>
          <w:highlight w:val="yellow"/>
        </w:rPr>
      </w:pPr>
      <w:r w:rsidRPr="00656E99">
        <w:rPr>
          <w:rFonts w:ascii="Arial" w:hAnsi="Arial"/>
          <w:b/>
          <w:i/>
          <w:sz w:val="24"/>
          <w:szCs w:val="24"/>
          <w:highlight w:val="yellow"/>
        </w:rPr>
        <w:t xml:space="preserve">The wording </w:t>
      </w:r>
      <w:r>
        <w:rPr>
          <w:rFonts w:ascii="Arial" w:hAnsi="Arial"/>
          <w:b/>
          <w:i/>
          <w:sz w:val="24"/>
          <w:szCs w:val="24"/>
          <w:highlight w:val="yellow"/>
        </w:rPr>
        <w:t xml:space="preserve">on the limit of indemnity for </w:t>
      </w:r>
      <w:r w:rsidR="005D54D2">
        <w:rPr>
          <w:rFonts w:ascii="Arial" w:hAnsi="Arial"/>
          <w:b/>
          <w:i/>
          <w:sz w:val="24"/>
          <w:szCs w:val="24"/>
          <w:highlight w:val="yellow"/>
        </w:rPr>
        <w:t>third party public and products</w:t>
      </w:r>
      <w:r>
        <w:rPr>
          <w:rFonts w:ascii="Arial" w:hAnsi="Arial"/>
          <w:b/>
          <w:i/>
          <w:sz w:val="24"/>
          <w:szCs w:val="24"/>
          <w:highlight w:val="yellow"/>
        </w:rPr>
        <w:t xml:space="preserve"> liability</w:t>
      </w:r>
      <w:r w:rsidRPr="00121384">
        <w:rPr>
          <w:rFonts w:ascii="Arial" w:hAnsi="Arial"/>
          <w:b/>
          <w:i/>
          <w:sz w:val="24"/>
          <w:szCs w:val="24"/>
          <w:highlight w:val="yellow"/>
        </w:rPr>
        <w:t xml:space="preserve"> reflects what is available in UK insurance market conditions</w:t>
      </w:r>
      <w:r>
        <w:rPr>
          <w:rFonts w:ascii="Arial" w:hAnsi="Arial"/>
          <w:b/>
          <w:i/>
          <w:sz w:val="24"/>
          <w:szCs w:val="24"/>
          <w:highlight w:val="yellow"/>
        </w:rPr>
        <w:t xml:space="preserve"> for this type of insurance only. While insurance is available in the UK on this basis, it may not be available in other parts of the world, in which case Suppliers may need to seek an alternative UK insurance policy on this basis.]</w:t>
      </w:r>
      <w:r w:rsidRPr="00121384">
        <w:rPr>
          <w:rFonts w:ascii="Arial" w:hAnsi="Arial"/>
          <w:b/>
          <w:i/>
          <w:sz w:val="24"/>
          <w:szCs w:val="24"/>
          <w:highlight w:val="yellow"/>
        </w:rPr>
        <w:t xml:space="preserve"> </w:t>
      </w:r>
    </w:p>
    <w:p w14:paraId="6D0D0318"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Territorial limits</w:t>
      </w:r>
    </w:p>
    <w:p w14:paraId="273C8E5B" w14:textId="77777777" w:rsidR="003D0C0D" w:rsidRPr="008A5DEA" w:rsidRDefault="003D0C0D" w:rsidP="003D0C0D">
      <w:pPr>
        <w:overflowPunct/>
        <w:autoSpaceDE/>
        <w:autoSpaceDN/>
        <w:adjustRightInd/>
        <w:spacing w:before="100" w:after="200"/>
        <w:ind w:left="720"/>
        <w:jc w:val="left"/>
        <w:textAlignment w:val="auto"/>
        <w:rPr>
          <w:rFonts w:ascii="Arial" w:hAnsi="Arial"/>
          <w:sz w:val="24"/>
          <w:szCs w:val="24"/>
        </w:rPr>
      </w:pPr>
      <w:r w:rsidRPr="008A5DEA">
        <w:rPr>
          <w:rFonts w:ascii="Arial" w:hAnsi="Arial"/>
          <w:b/>
          <w:sz w:val="24"/>
          <w:szCs w:val="24"/>
          <w:highlight w:val="yellow"/>
        </w:rPr>
        <w:t>[United</w:t>
      </w:r>
      <w:r w:rsidRPr="008A5DEA">
        <w:rPr>
          <w:rFonts w:ascii="Arial" w:hAnsi="Arial"/>
          <w:sz w:val="24"/>
          <w:szCs w:val="24"/>
          <w:highlight w:val="yellow"/>
        </w:rPr>
        <w:t xml:space="preserve"> </w:t>
      </w:r>
      <w:r w:rsidRPr="008A5DEA">
        <w:rPr>
          <w:rFonts w:ascii="Arial" w:hAnsi="Arial"/>
          <w:b/>
          <w:sz w:val="24"/>
          <w:szCs w:val="24"/>
          <w:highlight w:val="yellow"/>
        </w:rPr>
        <w:t>Kingdom]</w:t>
      </w:r>
    </w:p>
    <w:p w14:paraId="592DFC6B" w14:textId="77777777" w:rsidR="003D0C0D" w:rsidRPr="00A76402" w:rsidRDefault="003D0C0D" w:rsidP="003D0C0D">
      <w:pPr>
        <w:overflowPunct/>
        <w:autoSpaceDE/>
        <w:autoSpaceDN/>
        <w:adjustRightInd/>
        <w:spacing w:before="100" w:after="200"/>
        <w:ind w:left="720"/>
        <w:jc w:val="left"/>
        <w:textAlignment w:val="auto"/>
        <w:rPr>
          <w:rFonts w:ascii="Arial" w:hAnsi="Arial"/>
          <w:b/>
          <w:i/>
          <w:sz w:val="24"/>
          <w:szCs w:val="24"/>
        </w:rPr>
      </w:pPr>
      <w:r w:rsidRPr="00A76402">
        <w:rPr>
          <w:rFonts w:ascii="Arial" w:hAnsi="Arial"/>
          <w:b/>
          <w:i/>
          <w:sz w:val="24"/>
          <w:szCs w:val="24"/>
          <w:highlight w:val="yellow"/>
        </w:rPr>
        <w:lastRenderedPageBreak/>
        <w:t>[Guidance: The Buyer should populate any additional territories relative to the service delivery. The Annex drafting reflects United Kingdom insurance market conditions and availability only. Where there is an overseas requirement consider obtaining professional insurance advice to set the appropriate requirement in the Annex]</w:t>
      </w:r>
    </w:p>
    <w:p w14:paraId="54397A06"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Period of insurance</w:t>
      </w:r>
    </w:p>
    <w:p w14:paraId="3C0B1A43"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From the date of this Contract for the period of the Contract and renewable on an annual basis unless agreed otherwise by the Buyer in writing.</w:t>
      </w:r>
    </w:p>
    <w:p w14:paraId="10FB4D44" w14:textId="77777777" w:rsidR="003D0C0D" w:rsidRPr="00A76402" w:rsidRDefault="003D0C0D" w:rsidP="003D0C0D">
      <w:pPr>
        <w:overflowPunct/>
        <w:autoSpaceDE/>
        <w:autoSpaceDN/>
        <w:adjustRightInd/>
        <w:spacing w:before="100" w:after="200"/>
        <w:ind w:left="720"/>
        <w:jc w:val="left"/>
        <w:textAlignment w:val="auto"/>
        <w:rPr>
          <w:rFonts w:ascii="Arial" w:hAnsi="Arial"/>
          <w:b/>
          <w:i/>
          <w:sz w:val="24"/>
          <w:szCs w:val="24"/>
        </w:rPr>
      </w:pPr>
      <w:r w:rsidRPr="00A76402">
        <w:rPr>
          <w:rFonts w:ascii="Arial" w:hAnsi="Arial"/>
          <w:b/>
          <w:i/>
          <w:sz w:val="24"/>
          <w:szCs w:val="24"/>
          <w:highlight w:val="yellow"/>
        </w:rPr>
        <w:t>[Guidance: The Buyer should populate the period of insurance relative to the requirement in question. The period of insurance should reflect the period that the relevant insurable risk can materialise and take into account any contract specific issues such as phasing.]</w:t>
      </w:r>
    </w:p>
    <w:p w14:paraId="13CFE3C7"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Cover features and extensions</w:t>
      </w:r>
    </w:p>
    <w:p w14:paraId="2961F401"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Indemnity to principals clause under which the Buyer shall be indemnified in respect of claims made against the Buyer in respect of death or bodily injury or third party property damage arising out of or in connection with the Contract and for which the Supplier is legally liable.</w:t>
      </w:r>
    </w:p>
    <w:p w14:paraId="2DDA925F" w14:textId="77777777" w:rsidR="003D0C0D" w:rsidRPr="00A76402" w:rsidRDefault="003D0C0D" w:rsidP="003D0C0D">
      <w:pPr>
        <w:overflowPunct/>
        <w:autoSpaceDE/>
        <w:autoSpaceDN/>
        <w:adjustRightInd/>
        <w:spacing w:before="100" w:after="200"/>
        <w:ind w:left="720"/>
        <w:jc w:val="left"/>
        <w:textAlignment w:val="auto"/>
        <w:rPr>
          <w:rFonts w:ascii="Arial" w:hAnsi="Arial"/>
          <w:b/>
          <w:i/>
          <w:sz w:val="24"/>
          <w:szCs w:val="24"/>
        </w:rPr>
      </w:pPr>
      <w:r w:rsidRPr="00A76402">
        <w:rPr>
          <w:rFonts w:ascii="Arial" w:hAnsi="Arial"/>
          <w:b/>
          <w:i/>
          <w:sz w:val="24"/>
          <w:szCs w:val="24"/>
          <w:highlight w:val="yellow"/>
        </w:rPr>
        <w:t>[Guidance: As part of the insurance review the Buyer should consider what additional cover features and extensions may be required to protect its interests (e.g. contractual liability extension and legal defence costs in addition to the limit of indemnity). The Buyer may need to seek professional subject matter insurance advice in this regard.]</w:t>
      </w:r>
    </w:p>
    <w:p w14:paraId="352E0F58"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Principal exclusions</w:t>
      </w:r>
    </w:p>
    <w:p w14:paraId="430F6BB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War and related perils.</w:t>
      </w:r>
    </w:p>
    <w:p w14:paraId="41A4805C"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Nuclear and radioactive risks.</w:t>
      </w:r>
    </w:p>
    <w:p w14:paraId="5EDD0F54"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for death, illness, disease or bodily injury sustained by employees of the Insured arising out of the course of their employment.</w:t>
      </w:r>
    </w:p>
    <w:p w14:paraId="61A1F56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out of the use of mechanically propelled vehicles whilst required to be compulsorily insured by applicable Law in respect of such vehicles.</w:t>
      </w:r>
    </w:p>
    <w:p w14:paraId="1D50AC91"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in respect of predetermined penalties or liquidated damages imposed under any contract entered into by the Insured.</w:t>
      </w:r>
    </w:p>
    <w:p w14:paraId="3AF8EDF9"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out of technical or professional advice other than in respect of death or bodily injury to persons or damage to third party property.</w:t>
      </w:r>
    </w:p>
    <w:p w14:paraId="7ACE453E"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from the ownership, possession or use of any aircraft or marine vessel.</w:t>
      </w:r>
    </w:p>
    <w:p w14:paraId="564348EB" w14:textId="77777777" w:rsidR="003D0C0D" w:rsidRPr="008A5DEA"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Liability arising from seepage and pollution unless caused by a sudden, unintended, unexpected and accidental occurrence.</w:t>
      </w:r>
    </w:p>
    <w:p w14:paraId="6E5140B3" w14:textId="14E784A0" w:rsidR="003D0C0D" w:rsidRPr="008A5DEA" w:rsidRDefault="003D0C0D" w:rsidP="003D0C0D">
      <w:pPr>
        <w:overflowPunct/>
        <w:autoSpaceDE/>
        <w:autoSpaceDN/>
        <w:adjustRightInd/>
        <w:spacing w:before="100" w:after="200"/>
        <w:ind w:left="720"/>
        <w:jc w:val="left"/>
        <w:textAlignment w:val="auto"/>
        <w:rPr>
          <w:rFonts w:ascii="Arial" w:hAnsi="Arial"/>
          <w:sz w:val="24"/>
          <w:szCs w:val="24"/>
        </w:rPr>
      </w:pPr>
      <w:r w:rsidRPr="008A5DEA">
        <w:rPr>
          <w:rFonts w:ascii="Arial" w:hAnsi="Arial"/>
          <w:sz w:val="24"/>
          <w:szCs w:val="24"/>
          <w:highlight w:val="yellow"/>
        </w:rPr>
        <w:lastRenderedPageBreak/>
        <w:t>[</w:t>
      </w:r>
      <w:r w:rsidRPr="00A76402">
        <w:rPr>
          <w:rFonts w:ascii="Arial" w:hAnsi="Arial"/>
          <w:b/>
          <w:i/>
          <w:sz w:val="24"/>
          <w:szCs w:val="24"/>
          <w:highlight w:val="yellow"/>
        </w:rPr>
        <w:t xml:space="preserve">Guidance: This list of exclusions represents insurance market wide exclusions for the third party public and products liability insurance. If something listed here is excluded and you wish it can be covered by an alternative insurance and include in PART </w:t>
      </w:r>
      <w:r w:rsidR="00A567B4">
        <w:rPr>
          <w:rFonts w:ascii="Arial" w:hAnsi="Arial"/>
          <w:b/>
          <w:i/>
          <w:sz w:val="24"/>
          <w:szCs w:val="24"/>
          <w:highlight w:val="yellow"/>
        </w:rPr>
        <w:t>C</w:t>
      </w:r>
      <w:r w:rsidRPr="00A76402">
        <w:rPr>
          <w:rFonts w:ascii="Arial" w:hAnsi="Arial"/>
          <w:b/>
          <w:i/>
          <w:sz w:val="24"/>
          <w:szCs w:val="24"/>
          <w:highlight w:val="yellow"/>
        </w:rPr>
        <w:t>]</w:t>
      </w:r>
    </w:p>
    <w:p w14:paraId="3E2C115B" w14:textId="77777777" w:rsidR="003D0C0D" w:rsidRPr="008A5DEA" w:rsidRDefault="003D0C0D" w:rsidP="003D0C0D">
      <w:pPr>
        <w:numPr>
          <w:ilvl w:val="0"/>
          <w:numId w:val="9"/>
        </w:numPr>
        <w:overflowPunct/>
        <w:autoSpaceDE/>
        <w:autoSpaceDN/>
        <w:adjustRightInd/>
        <w:spacing w:before="100" w:after="200"/>
        <w:jc w:val="left"/>
        <w:textAlignment w:val="auto"/>
        <w:rPr>
          <w:rFonts w:ascii="Arial" w:hAnsi="Arial"/>
          <w:b/>
          <w:sz w:val="24"/>
          <w:szCs w:val="24"/>
        </w:rPr>
      </w:pPr>
      <w:r w:rsidRPr="008A5DEA">
        <w:rPr>
          <w:rFonts w:ascii="Arial" w:hAnsi="Arial"/>
          <w:b/>
          <w:sz w:val="24"/>
          <w:szCs w:val="24"/>
        </w:rPr>
        <w:t>Maximum deductible threshold</w:t>
      </w:r>
    </w:p>
    <w:p w14:paraId="3BA2B37D" w14:textId="680B89D6" w:rsidR="003D0C0D" w:rsidRDefault="003D0C0D" w:rsidP="003D0C0D">
      <w:pPr>
        <w:numPr>
          <w:ilvl w:val="1"/>
          <w:numId w:val="9"/>
        </w:num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 xml:space="preserve">Not to exceed </w:t>
      </w:r>
      <w:r w:rsidRPr="008A5DEA">
        <w:rPr>
          <w:rFonts w:ascii="Arial" w:hAnsi="Arial"/>
          <w:b/>
          <w:sz w:val="24"/>
          <w:szCs w:val="24"/>
        </w:rPr>
        <w:t xml:space="preserve">£ </w:t>
      </w:r>
      <w:r w:rsidRPr="008A5DEA">
        <w:rPr>
          <w:rFonts w:ascii="Arial" w:hAnsi="Arial"/>
          <w:b/>
          <w:sz w:val="24"/>
          <w:szCs w:val="24"/>
          <w:highlight w:val="yellow"/>
        </w:rPr>
        <w:t>[Insert:</w:t>
      </w:r>
      <w:r w:rsidRPr="008A5DEA">
        <w:rPr>
          <w:rFonts w:ascii="Arial" w:hAnsi="Arial"/>
          <w:sz w:val="24"/>
          <w:szCs w:val="24"/>
          <w:highlight w:val="yellow"/>
        </w:rPr>
        <w:t xml:space="preserve"> figure on contract award based on the Supplier’s acceptable response to the I</w:t>
      </w:r>
      <w:r>
        <w:rPr>
          <w:rFonts w:ascii="Arial" w:hAnsi="Arial"/>
          <w:sz w:val="24"/>
          <w:szCs w:val="24"/>
          <w:highlight w:val="yellow"/>
        </w:rPr>
        <w:t xml:space="preserve">nvitation </w:t>
      </w:r>
      <w:r w:rsidRPr="008A5DEA">
        <w:rPr>
          <w:rFonts w:ascii="Arial" w:hAnsi="Arial"/>
          <w:sz w:val="24"/>
          <w:szCs w:val="24"/>
          <w:highlight w:val="yellow"/>
        </w:rPr>
        <w:t>T</w:t>
      </w:r>
      <w:r>
        <w:rPr>
          <w:rFonts w:ascii="Arial" w:hAnsi="Arial"/>
          <w:sz w:val="24"/>
          <w:szCs w:val="24"/>
          <w:highlight w:val="yellow"/>
        </w:rPr>
        <w:t xml:space="preserve">o </w:t>
      </w:r>
      <w:r w:rsidRPr="008A5DEA">
        <w:rPr>
          <w:rFonts w:ascii="Arial" w:hAnsi="Arial"/>
          <w:sz w:val="24"/>
          <w:szCs w:val="24"/>
          <w:highlight w:val="yellow"/>
        </w:rPr>
        <w:t>T</w:t>
      </w:r>
      <w:r>
        <w:rPr>
          <w:rFonts w:ascii="Arial" w:hAnsi="Arial"/>
          <w:sz w:val="24"/>
          <w:szCs w:val="24"/>
          <w:highlight w:val="yellow"/>
        </w:rPr>
        <w:t>ender</w:t>
      </w:r>
      <w:r w:rsidRPr="008A5DEA">
        <w:rPr>
          <w:rFonts w:ascii="Arial" w:hAnsi="Arial"/>
          <w:sz w:val="24"/>
          <w:szCs w:val="24"/>
          <w:highlight w:val="yellow"/>
        </w:rPr>
        <w:t>]</w:t>
      </w:r>
      <w:r w:rsidRPr="008A5DEA">
        <w:rPr>
          <w:rFonts w:ascii="Arial" w:hAnsi="Arial"/>
          <w:sz w:val="24"/>
          <w:szCs w:val="24"/>
        </w:rPr>
        <w:t xml:space="preserve"> for each and every third party property damage claim (personal injury claims to be paid in full).</w:t>
      </w:r>
    </w:p>
    <w:p w14:paraId="1DB3C4E4" w14:textId="77777777" w:rsidR="00121384" w:rsidRPr="008A5DEA" w:rsidRDefault="00121384" w:rsidP="00121384">
      <w:pPr>
        <w:overflowPunct/>
        <w:autoSpaceDE/>
        <w:autoSpaceDN/>
        <w:adjustRightInd/>
        <w:spacing w:before="100" w:after="200"/>
        <w:ind w:left="720"/>
        <w:jc w:val="left"/>
        <w:textAlignment w:val="auto"/>
        <w:rPr>
          <w:rFonts w:ascii="Arial" w:hAnsi="Arial"/>
          <w:sz w:val="24"/>
          <w:szCs w:val="24"/>
        </w:rPr>
      </w:pPr>
    </w:p>
    <w:p w14:paraId="6BCC9DAC" w14:textId="10D7AEDE" w:rsidR="003D0C0D" w:rsidRPr="008A5DEA" w:rsidRDefault="003D0C0D" w:rsidP="003D0C0D">
      <w:pPr>
        <w:overflowPunct/>
        <w:autoSpaceDE/>
        <w:autoSpaceDN/>
        <w:adjustRightInd/>
        <w:spacing w:before="100" w:after="200"/>
        <w:jc w:val="center"/>
        <w:textAlignment w:val="auto"/>
        <w:rPr>
          <w:rFonts w:ascii="Arial" w:hAnsi="Arial"/>
          <w:b/>
          <w:caps/>
          <w:sz w:val="24"/>
          <w:szCs w:val="24"/>
        </w:rPr>
      </w:pPr>
      <w:r w:rsidRPr="008A5DEA">
        <w:rPr>
          <w:rFonts w:ascii="Arial" w:hAnsi="Arial"/>
          <w:b/>
          <w:caps/>
          <w:sz w:val="24"/>
          <w:szCs w:val="24"/>
        </w:rPr>
        <w:t xml:space="preserve">PART </w:t>
      </w:r>
      <w:r w:rsidR="00F231BD">
        <w:rPr>
          <w:rFonts w:ascii="Arial" w:hAnsi="Arial"/>
          <w:b/>
          <w:caps/>
          <w:sz w:val="24"/>
          <w:szCs w:val="24"/>
        </w:rPr>
        <w:t>B</w:t>
      </w:r>
      <w:r w:rsidRPr="008A5DEA">
        <w:rPr>
          <w:rFonts w:ascii="Arial" w:hAnsi="Arial"/>
          <w:b/>
          <w:caps/>
          <w:sz w:val="24"/>
          <w:szCs w:val="24"/>
        </w:rPr>
        <w:t>: UNITED KINGDOM COMPULSORY INSURANCES</w:t>
      </w:r>
    </w:p>
    <w:p w14:paraId="23C9B277" w14:textId="77777777" w:rsidR="003D0C0D" w:rsidRPr="008A5DEA" w:rsidRDefault="003D0C0D" w:rsidP="003D0C0D">
      <w:pPr>
        <w:overflowPunct/>
        <w:autoSpaceDE/>
        <w:autoSpaceDN/>
        <w:adjustRightInd/>
        <w:spacing w:before="100" w:after="200"/>
        <w:jc w:val="left"/>
        <w:textAlignment w:val="auto"/>
        <w:rPr>
          <w:rFonts w:ascii="Arial" w:hAnsi="Arial"/>
          <w:sz w:val="24"/>
          <w:szCs w:val="24"/>
        </w:rPr>
      </w:pPr>
      <w:r w:rsidRPr="008A5DEA">
        <w:rPr>
          <w:rFonts w:ascii="Arial" w:hAnsi="Arial"/>
          <w:sz w:val="24"/>
          <w:szCs w:val="24"/>
        </w:rPr>
        <w:t>The Supplier shall meet its insurance obligations under applicable Law in full, including, United Kingdom employers' liability insurance and motor third party liability insurance.</w:t>
      </w:r>
    </w:p>
    <w:p w14:paraId="0BD05720" w14:textId="77777777" w:rsidR="003D0C0D" w:rsidRPr="008A5DEA" w:rsidRDefault="003D0C0D" w:rsidP="003D0C0D">
      <w:pPr>
        <w:overflowPunct/>
        <w:autoSpaceDE/>
        <w:autoSpaceDN/>
        <w:adjustRightInd/>
        <w:spacing w:before="100" w:after="200"/>
        <w:jc w:val="left"/>
        <w:textAlignment w:val="auto"/>
        <w:rPr>
          <w:rFonts w:ascii="Arial" w:hAnsi="Arial"/>
          <w:sz w:val="24"/>
          <w:szCs w:val="24"/>
        </w:rPr>
      </w:pPr>
    </w:p>
    <w:p w14:paraId="52AB1C93" w14:textId="3D5C2BBA" w:rsidR="003D0C0D" w:rsidRPr="008A5DEA" w:rsidRDefault="003D0C0D" w:rsidP="003D0C0D">
      <w:pPr>
        <w:overflowPunct/>
        <w:autoSpaceDE/>
        <w:autoSpaceDN/>
        <w:adjustRightInd/>
        <w:spacing w:before="100" w:after="200"/>
        <w:jc w:val="center"/>
        <w:textAlignment w:val="auto"/>
        <w:rPr>
          <w:rFonts w:ascii="Arial" w:hAnsi="Arial"/>
          <w:b/>
          <w:caps/>
          <w:sz w:val="24"/>
          <w:szCs w:val="24"/>
        </w:rPr>
      </w:pPr>
      <w:r w:rsidRPr="008A5DEA">
        <w:rPr>
          <w:rFonts w:ascii="Arial" w:hAnsi="Arial"/>
          <w:b/>
          <w:caps/>
          <w:sz w:val="24"/>
          <w:szCs w:val="24"/>
        </w:rPr>
        <w:t xml:space="preserve">pART </w:t>
      </w:r>
      <w:r w:rsidR="00F231BD">
        <w:rPr>
          <w:rFonts w:ascii="Arial" w:hAnsi="Arial"/>
          <w:b/>
          <w:caps/>
          <w:sz w:val="24"/>
          <w:szCs w:val="24"/>
        </w:rPr>
        <w:t>C</w:t>
      </w:r>
      <w:r w:rsidRPr="008A5DEA">
        <w:rPr>
          <w:rFonts w:ascii="Arial" w:hAnsi="Arial"/>
          <w:b/>
          <w:caps/>
          <w:sz w:val="24"/>
          <w:szCs w:val="24"/>
        </w:rPr>
        <w:t>: ADDITIONAL INSURANCES</w:t>
      </w:r>
    </w:p>
    <w:p w14:paraId="097404DA" w14:textId="77777777" w:rsidR="003D0C0D" w:rsidRPr="00A76402" w:rsidRDefault="003D0C0D" w:rsidP="003D0C0D">
      <w:pPr>
        <w:overflowPunct/>
        <w:autoSpaceDE/>
        <w:autoSpaceDN/>
        <w:adjustRightInd/>
        <w:spacing w:before="100" w:after="200"/>
        <w:jc w:val="left"/>
        <w:textAlignment w:val="auto"/>
        <w:rPr>
          <w:rFonts w:ascii="Arial" w:hAnsi="Arial"/>
          <w:b/>
          <w:i/>
          <w:sz w:val="24"/>
          <w:szCs w:val="24"/>
          <w:highlight w:val="yellow"/>
        </w:rPr>
      </w:pPr>
      <w:r w:rsidRPr="00A76402">
        <w:rPr>
          <w:rFonts w:ascii="Arial" w:hAnsi="Arial"/>
          <w:b/>
          <w:i/>
          <w:sz w:val="24"/>
          <w:szCs w:val="24"/>
          <w:highlight w:val="yellow"/>
        </w:rPr>
        <w:t>[Guidance: You may wish to consider including the following additional required insurances. The Buyer may need to seek professional subject matter insurance advice in this regard. Examples of additional insurance are:</w:t>
      </w:r>
    </w:p>
    <w:tbl>
      <w:tblPr>
        <w:tblStyle w:val="TableGrid1"/>
        <w:tblW w:w="0" w:type="auto"/>
        <w:tblInd w:w="0" w:type="dxa"/>
        <w:tblLook w:val="04A0" w:firstRow="1" w:lastRow="0" w:firstColumn="1" w:lastColumn="0" w:noHBand="0" w:noVBand="1"/>
      </w:tblPr>
      <w:tblGrid>
        <w:gridCol w:w="3945"/>
        <w:gridCol w:w="5071"/>
      </w:tblGrid>
      <w:tr w:rsidR="003D0C0D" w:rsidRPr="008A5DEA" w14:paraId="1080D71B" w14:textId="77777777" w:rsidTr="005D54D2">
        <w:tc>
          <w:tcPr>
            <w:tcW w:w="3964" w:type="dxa"/>
            <w:hideMark/>
          </w:tcPr>
          <w:p w14:paraId="42EAE3AE"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Professional Indemnity Insurance</w:t>
            </w:r>
          </w:p>
        </w:tc>
        <w:tc>
          <w:tcPr>
            <w:tcW w:w="5099" w:type="dxa"/>
            <w:hideMark/>
          </w:tcPr>
          <w:p w14:paraId="482D64CD"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Where the Buyer requirement includes a potential breach of professional duty by the Supplier in connection with professional advice and /or professional services to be maintained for 6 years after the End Date</w:t>
            </w:r>
          </w:p>
        </w:tc>
      </w:tr>
      <w:tr w:rsidR="003D0C0D" w:rsidRPr="008A5DEA" w14:paraId="530CA200" w14:textId="77777777" w:rsidTr="005D54D2">
        <w:tc>
          <w:tcPr>
            <w:tcW w:w="3964" w:type="dxa"/>
            <w:hideMark/>
          </w:tcPr>
          <w:p w14:paraId="39C8D6FD"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Property Damage Insurance / Goods in Transit Insurance</w:t>
            </w:r>
          </w:p>
        </w:tc>
        <w:tc>
          <w:tcPr>
            <w:tcW w:w="5099" w:type="dxa"/>
            <w:hideMark/>
          </w:tcPr>
          <w:p w14:paraId="68EC79E1"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Where the Buyer requirement necessitates primary perils insurance for relevant physical property (e.g. Buyer physical property in the care, custody and control of the Supplier in delivering the Contract).</w:t>
            </w:r>
          </w:p>
        </w:tc>
      </w:tr>
      <w:tr w:rsidR="003D0C0D" w:rsidRPr="008A5DEA" w14:paraId="51A626B4" w14:textId="77777777" w:rsidTr="005D54D2">
        <w:tc>
          <w:tcPr>
            <w:tcW w:w="3964" w:type="dxa"/>
            <w:hideMark/>
          </w:tcPr>
          <w:p w14:paraId="26AFBE1B"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Cyber Liability Insurance</w:t>
            </w:r>
          </w:p>
        </w:tc>
        <w:tc>
          <w:tcPr>
            <w:tcW w:w="5099" w:type="dxa"/>
            <w:hideMark/>
          </w:tcPr>
          <w:p w14:paraId="3F1CDF0F"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Where the Buyer requirement includes specific cyber risk exposures.</w:t>
            </w:r>
          </w:p>
        </w:tc>
      </w:tr>
      <w:tr w:rsidR="003D0C0D" w:rsidRPr="008A5DEA" w14:paraId="47F3253B" w14:textId="77777777" w:rsidTr="005D54D2">
        <w:tc>
          <w:tcPr>
            <w:tcW w:w="3964" w:type="dxa"/>
            <w:hideMark/>
          </w:tcPr>
          <w:p w14:paraId="6E27A293"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Environmental Liability Insurance or Contractors Pollution Liability Insurance</w:t>
            </w:r>
          </w:p>
        </w:tc>
        <w:tc>
          <w:tcPr>
            <w:tcW w:w="5099" w:type="dxa"/>
            <w:hideMark/>
          </w:tcPr>
          <w:p w14:paraId="0194E3C8" w14:textId="77777777" w:rsidR="003D0C0D" w:rsidRPr="008A5DEA" w:rsidRDefault="003D0C0D" w:rsidP="005D54D2">
            <w:pPr>
              <w:overflowPunct/>
              <w:autoSpaceDE/>
              <w:autoSpaceDN/>
              <w:adjustRightInd/>
              <w:spacing w:before="100" w:after="200"/>
              <w:textAlignment w:val="auto"/>
              <w:rPr>
                <w:sz w:val="24"/>
                <w:szCs w:val="24"/>
                <w:highlight w:val="yellow"/>
              </w:rPr>
            </w:pPr>
            <w:r w:rsidRPr="008A5DEA">
              <w:rPr>
                <w:sz w:val="24"/>
                <w:szCs w:val="24"/>
                <w:highlight w:val="yellow"/>
              </w:rPr>
              <w:t>Where the Buyer requirement includes exposure to significant pollution / contamination risks.</w:t>
            </w:r>
          </w:p>
        </w:tc>
      </w:tr>
    </w:tbl>
    <w:p w14:paraId="55E81D67" w14:textId="77777777" w:rsidR="003D0C0D" w:rsidRPr="008A5DEA" w:rsidRDefault="003D0C0D" w:rsidP="003D0C0D">
      <w:pPr>
        <w:overflowPunct/>
        <w:autoSpaceDE/>
        <w:autoSpaceDN/>
        <w:adjustRightInd/>
        <w:spacing w:after="0"/>
        <w:jc w:val="left"/>
        <w:textAlignment w:val="auto"/>
        <w:rPr>
          <w:rFonts w:ascii="Arial" w:hAnsi="Arial"/>
          <w:lang w:eastAsia="en-US"/>
        </w:rPr>
      </w:pPr>
    </w:p>
    <w:p w14:paraId="44BCDCF9" w14:textId="77777777" w:rsidR="003D0C0D" w:rsidRPr="008A5DEA" w:rsidRDefault="003D0C0D" w:rsidP="003D0C0D">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p w14:paraId="1C760D28" w14:textId="77777777" w:rsidR="003D0C0D" w:rsidRPr="008A5DEA" w:rsidRDefault="003D0C0D" w:rsidP="003D0C0D">
      <w:pPr>
        <w:pBdr>
          <w:top w:val="nil"/>
          <w:left w:val="nil"/>
          <w:bottom w:val="nil"/>
          <w:right w:val="nil"/>
          <w:between w:val="nil"/>
        </w:pBdr>
        <w:tabs>
          <w:tab w:val="left" w:pos="142"/>
        </w:tabs>
        <w:spacing w:before="120"/>
        <w:ind w:left="540" w:hanging="360"/>
        <w:jc w:val="left"/>
        <w:rPr>
          <w:rFonts w:ascii="Arial" w:eastAsia="Arial" w:hAnsi="Arial"/>
          <w:color w:val="000000"/>
          <w:sz w:val="24"/>
          <w:szCs w:val="24"/>
        </w:rPr>
      </w:pPr>
    </w:p>
    <w:p w14:paraId="6E27B3E2" w14:textId="77777777" w:rsidR="003D0C0D" w:rsidRDefault="003D0C0D" w:rsidP="003D0C0D"/>
    <w:p w14:paraId="00000025" w14:textId="77777777" w:rsidR="009E11FE" w:rsidRDefault="009E11FE">
      <w:bookmarkStart w:id="5" w:name="_heading=h.1fob9te" w:colFirst="0" w:colLast="0"/>
      <w:bookmarkStart w:id="6" w:name="bookmark=id.3znysh7" w:colFirst="0" w:colLast="0"/>
      <w:bookmarkEnd w:id="5"/>
      <w:bookmarkEnd w:id="6"/>
    </w:p>
    <w:sectPr w:rsidR="009E11FE">
      <w:headerReference w:type="default" r:id="rId12"/>
      <w:footerReference w:type="default" r:id="rId13"/>
      <w:headerReference w:type="first" r:id="rId14"/>
      <w:footerReference w:type="first" r:id="rId15"/>
      <w:pgSz w:w="11906" w:h="16838"/>
      <w:pgMar w:top="1440" w:right="1440" w:bottom="1440" w:left="1440" w:header="709" w:footer="709" w:gutter="0"/>
      <w:cols w:space="720" w:equalWidth="0">
        <w:col w:w="9360"/>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70EF8D34" w14:textId="67742820" w:rsidR="00B33801" w:rsidRDefault="00B33801">
      <w:pPr>
        <w:pStyle w:val="CommentText"/>
      </w:pPr>
      <w:r>
        <w:rPr>
          <w:rStyle w:val="CommentReference"/>
        </w:rPr>
        <w:annotationRef/>
      </w:r>
      <w:r>
        <w:t>Karl to discuss with Nikki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EF8D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EF8D34" w16cid:durableId="273441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1DC9" w14:textId="77777777" w:rsidR="008C3479" w:rsidRDefault="008C3479">
      <w:pPr>
        <w:spacing w:after="0"/>
      </w:pPr>
      <w:r>
        <w:separator/>
      </w:r>
    </w:p>
  </w:endnote>
  <w:endnote w:type="continuationSeparator" w:id="0">
    <w:p w14:paraId="2DEA06ED" w14:textId="77777777" w:rsidR="008C3479" w:rsidRDefault="008C3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6C4A8051" w:rsidR="009E11FE" w:rsidRDefault="00F25B24">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60288" behindDoc="0" locked="0" layoutInCell="0" allowOverlap="1" wp14:anchorId="0129A701" wp14:editId="67EE4EAF">
              <wp:simplePos x="0" y="0"/>
              <wp:positionH relativeFrom="page">
                <wp:posOffset>0</wp:posOffset>
              </wp:positionH>
              <wp:positionV relativeFrom="page">
                <wp:posOffset>10227945</wp:posOffset>
              </wp:positionV>
              <wp:extent cx="7560310" cy="273050"/>
              <wp:effectExtent l="0" t="0" r="0" b="12700"/>
              <wp:wrapNone/>
              <wp:docPr id="2" name="MSIPCMdbd54715ac7d58e24b68dad9"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F05A55" w14:textId="5C063962" w:rsidR="00F25B24" w:rsidRPr="00F25B24" w:rsidRDefault="00F25B24" w:rsidP="00F25B24">
                          <w:pPr>
                            <w:spacing w:after="0"/>
                            <w:jc w:val="center"/>
                            <w:rPr>
                              <w:rFonts w:cs="Calibri"/>
                              <w:color w:val="000000"/>
                              <w:sz w:val="20"/>
                            </w:rPr>
                          </w:pPr>
                          <w:r w:rsidRPr="00F25B24">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129A701" id="_x0000_t202" coordsize="21600,21600" o:spt="202" path="m,l,21600r21600,l21600,xe">
              <v:stroke joinstyle="miter"/>
              <v:path gradientshapeok="t" o:connecttype="rect"/>
            </v:shapetype>
            <v:shape id="MSIPCMdbd54715ac7d58e24b68dad9"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61F05A55" w14:textId="5C063962" w:rsidR="00F25B24" w:rsidRPr="00F25B24" w:rsidRDefault="00F25B24" w:rsidP="00F25B24">
                    <w:pPr>
                      <w:spacing w:after="0"/>
                      <w:jc w:val="center"/>
                      <w:rPr>
                        <w:rFonts w:cs="Calibri"/>
                        <w:color w:val="000000"/>
                        <w:sz w:val="20"/>
                      </w:rPr>
                    </w:pPr>
                    <w:r w:rsidRPr="00F25B24">
                      <w:rPr>
                        <w:rFonts w:cs="Calibri"/>
                        <w:color w:val="000000"/>
                        <w:sz w:val="20"/>
                      </w:rPr>
                      <w:t>UK OFFICIAL</w:t>
                    </w:r>
                  </w:p>
                </w:txbxContent>
              </v:textbox>
              <w10:wrap anchorx="page" anchory="page"/>
            </v:shape>
          </w:pict>
        </mc:Fallback>
      </mc:AlternateContent>
    </w:r>
    <w:r w:rsidR="002A5221">
      <w:rPr>
        <w:rFonts w:ascii="Arial" w:eastAsia="Arial" w:hAnsi="Arial"/>
        <w:sz w:val="20"/>
        <w:szCs w:val="20"/>
      </w:rPr>
      <w:tab/>
      <w:t xml:space="preserve">                                           </w:t>
    </w:r>
  </w:p>
  <w:p w14:paraId="00000030" w14:textId="5255277F" w:rsidR="009E11FE" w:rsidRDefault="00C2693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w:t>
    </w:r>
    <w:r w:rsidR="002A5221">
      <w:rPr>
        <w:rFonts w:ascii="Arial" w:eastAsia="Arial" w:hAnsi="Arial"/>
        <w:color w:val="BFBFBF"/>
        <w:sz w:val="20"/>
        <w:szCs w:val="20"/>
      </w:rPr>
      <w:t>d-Tier Contract</w:t>
    </w:r>
    <w:r w:rsidR="008B5A94">
      <w:rPr>
        <w:rFonts w:ascii="Arial" w:eastAsia="Arial" w:hAnsi="Arial"/>
        <w:color w:val="BFBFBF"/>
        <w:sz w:val="20"/>
        <w:szCs w:val="20"/>
      </w:rPr>
      <w:t xml:space="preserve"> – Version 1.1</w:t>
    </w:r>
    <w:r w:rsidR="002A5221">
      <w:rPr>
        <w:rFonts w:ascii="Arial" w:eastAsia="Arial" w:hAnsi="Arial"/>
        <w:color w:val="BFBFBF"/>
        <w:sz w:val="20"/>
        <w:szCs w:val="20"/>
      </w:rPr>
      <w:tab/>
      <w:t xml:space="preserve">                                           </w:t>
    </w:r>
  </w:p>
  <w:p w14:paraId="00000031" w14:textId="4A89CBA0" w:rsidR="009E11FE" w:rsidRDefault="002A522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8B5A94">
      <w:rPr>
        <w:rFonts w:ascii="Arial" w:eastAsia="Arial" w:hAnsi="Arial"/>
        <w:noProof/>
        <w:color w:val="BFBFBF"/>
        <w:sz w:val="20"/>
        <w:szCs w:val="20"/>
      </w:rPr>
      <w:t>1</w:t>
    </w:r>
    <w:r>
      <w:rPr>
        <w:rFonts w:ascii="Arial" w:eastAsia="Arial" w:hAnsi="Arial"/>
        <w:color w:val="BFBFBF"/>
        <w:sz w:val="20"/>
        <w:szCs w:val="20"/>
      </w:rPr>
      <w:fldChar w:fldCharType="end"/>
    </w:r>
  </w:p>
  <w:p w14:paraId="00000033" w14:textId="77777777" w:rsidR="009E11FE" w:rsidRDefault="002A5221">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77777777" w:rsidR="009E11FE" w:rsidRDefault="009E11FE">
    <w:pPr>
      <w:tabs>
        <w:tab w:val="center" w:pos="4513"/>
        <w:tab w:val="right" w:pos="9026"/>
      </w:tabs>
      <w:spacing w:after="0"/>
      <w:rPr>
        <w:rFonts w:ascii="Arial" w:eastAsia="Arial" w:hAnsi="Arial"/>
        <w:color w:val="BFBFBF"/>
        <w:sz w:val="20"/>
        <w:szCs w:val="20"/>
      </w:rPr>
    </w:pPr>
  </w:p>
  <w:p w14:paraId="0000002C" w14:textId="16F8A9B6" w:rsidR="009E11FE" w:rsidRDefault="002A522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0000002D" w14:textId="2FD4EF9A" w:rsidR="009E11FE" w:rsidRDefault="002A522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8C2687">
      <w:rPr>
        <w:rFonts w:ascii="Arial" w:eastAsia="Arial" w:hAnsi="Arial"/>
        <w:noProof/>
        <w:color w:val="BFBFBF"/>
        <w:sz w:val="20"/>
        <w:szCs w:val="20"/>
      </w:rPr>
      <w:t>1981332384</w:t>
    </w:r>
    <w:r>
      <w:rPr>
        <w:rFonts w:ascii="Arial" w:eastAsia="Arial" w:hAnsi="Arial"/>
        <w:color w:val="BFBFBF"/>
        <w:sz w:val="20"/>
        <w:szCs w:val="20"/>
      </w:rPr>
      <w:fldChar w:fldCharType="end"/>
    </w:r>
  </w:p>
  <w:p w14:paraId="0000002E" w14:textId="5F8D98FD" w:rsidR="009E11FE" w:rsidRDefault="002A5221">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0AD67" w14:textId="77777777" w:rsidR="008C3479" w:rsidRDefault="008C3479">
      <w:pPr>
        <w:spacing w:after="0"/>
      </w:pPr>
      <w:r>
        <w:separator/>
      </w:r>
    </w:p>
  </w:footnote>
  <w:footnote w:type="continuationSeparator" w:id="0">
    <w:p w14:paraId="5C55CB40" w14:textId="77777777" w:rsidR="008C3479" w:rsidRDefault="008C34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9591" w14:textId="77777777" w:rsidR="00B33801" w:rsidRDefault="00F25B24" w:rsidP="00B33801">
    <w:pPr>
      <w:pStyle w:val="Header"/>
      <w:rPr>
        <w:rFonts w:ascii="Arial" w:hAnsi="Arial"/>
        <w:sz w:val="20"/>
        <w:szCs w:val="20"/>
      </w:rPr>
    </w:pPr>
    <w:r>
      <w:rPr>
        <w:rFonts w:ascii="Arial" w:eastAsia="Arial" w:hAnsi="Arial"/>
        <w:noProof/>
        <w:color w:val="000000"/>
        <w:sz w:val="20"/>
        <w:szCs w:val="20"/>
      </w:rPr>
      <mc:AlternateContent>
        <mc:Choice Requires="wps">
          <w:drawing>
            <wp:anchor distT="0" distB="0" distL="114300" distR="114300" simplePos="0" relativeHeight="251659264" behindDoc="0" locked="0" layoutInCell="0" allowOverlap="1" wp14:anchorId="784C0178" wp14:editId="3F87AD41">
              <wp:simplePos x="0" y="0"/>
              <wp:positionH relativeFrom="page">
                <wp:posOffset>0</wp:posOffset>
              </wp:positionH>
              <wp:positionV relativeFrom="page">
                <wp:posOffset>190500</wp:posOffset>
              </wp:positionV>
              <wp:extent cx="7560310" cy="273050"/>
              <wp:effectExtent l="0" t="0" r="0" b="12700"/>
              <wp:wrapNone/>
              <wp:docPr id="1" name="MSIPCM3a84425b89c84a246004423a"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E85D0D" w14:textId="25B22FFA" w:rsidR="00F25B24" w:rsidRPr="00F25B24" w:rsidRDefault="00F25B24" w:rsidP="00F25B24">
                          <w:pPr>
                            <w:spacing w:after="0"/>
                            <w:jc w:val="center"/>
                            <w:rPr>
                              <w:rFonts w:cs="Calibri"/>
                              <w:color w:val="000000"/>
                              <w:sz w:val="20"/>
                            </w:rPr>
                          </w:pPr>
                          <w:r w:rsidRPr="00F25B24">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84C0178" id="_x0000_t202" coordsize="21600,21600" o:spt="202" path="m,l,21600r21600,l21600,xe">
              <v:stroke joinstyle="miter"/>
              <v:path gradientshapeok="t" o:connecttype="rect"/>
            </v:shapetype>
            <v:shape id="MSIPCM3a84425b89c84a246004423a"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44E85D0D" w14:textId="25B22FFA" w:rsidR="00F25B24" w:rsidRPr="00F25B24" w:rsidRDefault="00F25B24" w:rsidP="00F25B24">
                    <w:pPr>
                      <w:spacing w:after="0"/>
                      <w:jc w:val="center"/>
                      <w:rPr>
                        <w:rFonts w:cs="Calibri"/>
                        <w:color w:val="000000"/>
                        <w:sz w:val="20"/>
                      </w:rPr>
                    </w:pPr>
                    <w:r w:rsidRPr="00F25B24">
                      <w:rPr>
                        <w:rFonts w:cs="Calibri"/>
                        <w:color w:val="000000"/>
                        <w:sz w:val="20"/>
                      </w:rPr>
                      <w:t>UK OFFICIAL</w:t>
                    </w:r>
                  </w:p>
                </w:txbxContent>
              </v:textbox>
              <w10:wrap anchorx="page" anchory="page"/>
            </v:shape>
          </w:pict>
        </mc:Fallback>
      </mc:AlternateContent>
    </w:r>
    <w:r w:rsidR="00B33801">
      <w:rPr>
        <w:rFonts w:ascii="Arial" w:eastAsia="Arial" w:hAnsi="Arial"/>
        <w:color w:val="000000"/>
        <w:sz w:val="20"/>
        <w:szCs w:val="20"/>
      </w:rPr>
      <w:t>P</w:t>
    </w:r>
    <w:r w:rsidR="00B33801">
      <w:rPr>
        <w:rFonts w:ascii="Arial" w:hAnsi="Arial"/>
        <w:sz w:val="20"/>
        <w:szCs w:val="20"/>
      </w:rPr>
      <w:t>S22419</w:t>
    </w:r>
  </w:p>
  <w:p w14:paraId="00000029" w14:textId="0381781E" w:rsidR="009E11FE" w:rsidRDefault="002A522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22 (Insurance Requirements)</w:t>
    </w:r>
  </w:p>
  <w:p w14:paraId="0000002A" w14:textId="70B8BFEF" w:rsidR="009E11FE" w:rsidRDefault="002A52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00A76402">
      <w:rPr>
        <w:rFonts w:ascii="Arial" w:eastAsia="Arial" w:hAnsi="Arial"/>
        <w:color w:val="000000"/>
        <w:sz w:val="20"/>
        <w:szCs w:val="20"/>
      </w:rPr>
      <w:t>22</w:t>
    </w:r>
    <w:r>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9E11FE" w:rsidRDefault="002A522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9E11FE" w:rsidRDefault="002A522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9E11FE" w:rsidRDefault="009E11F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13F20"/>
    <w:multiLevelType w:val="multilevel"/>
    <w:tmpl w:val="4E0CBB56"/>
    <w:lvl w:ilvl="0">
      <w:start w:val="1"/>
      <w:numFmt w:val="upperLetter"/>
      <w:pStyle w:val="PartHeading"/>
      <w:suff w:val="nothing"/>
      <w:lvlText w:val="Part %1"/>
      <w:lvlJc w:val="left"/>
      <w:rPr>
        <w:rFonts w:cs="Times New Roman"/>
        <w:caps/>
      </w:rPr>
    </w:lvl>
    <w:lvl w:ilvl="1">
      <w:start w:val="1"/>
      <w:numFmt w:val="decimal"/>
      <w:pStyle w:val="AnnextoPart"/>
      <w:suff w:val="nothing"/>
      <w:lvlText w:val="Annex %1%2"/>
      <w:lvlJc w:val="left"/>
      <w:rPr>
        <w:rFonts w:cs="Times New Roman"/>
        <w:caps/>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1A7533FB"/>
    <w:multiLevelType w:val="hybridMultilevel"/>
    <w:tmpl w:val="AACE17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F566CF2"/>
    <w:multiLevelType w:val="multilevel"/>
    <w:tmpl w:val="D292C110"/>
    <w:lvl w:ilvl="0">
      <w:start w:val="1"/>
      <w:numFmt w:val="decimal"/>
      <w:pStyle w:val="AppendixText1"/>
      <w:lvlText w:val="%1"/>
      <w:lvlJc w:val="left"/>
      <w:pPr>
        <w:ind w:left="720" w:hanging="720"/>
      </w:pPr>
      <w:rPr>
        <w:rFonts w:cs="Times New Roman"/>
      </w:rPr>
    </w:lvl>
    <w:lvl w:ilvl="1">
      <w:start w:val="1"/>
      <w:numFmt w:val="decimal"/>
      <w:pStyle w:val="AppendixText2"/>
      <w:lvlText w:val="%1.%2"/>
      <w:lvlJc w:val="left"/>
      <w:pPr>
        <w:ind w:left="720" w:hanging="720"/>
      </w:pPr>
      <w:rPr>
        <w:rFonts w:cs="Times New Roman"/>
      </w:rPr>
    </w:lvl>
    <w:lvl w:ilvl="2">
      <w:start w:val="1"/>
      <w:numFmt w:val="decimal"/>
      <w:pStyle w:val="AppendixText3"/>
      <w:lvlText w:val="%1.%2.%3"/>
      <w:lvlJc w:val="left"/>
      <w:pPr>
        <w:ind w:left="1803" w:hanging="1083"/>
      </w:pPr>
      <w:rPr>
        <w:rFonts w:cs="Times New Roman"/>
      </w:rPr>
    </w:lvl>
    <w:lvl w:ilvl="3">
      <w:start w:val="1"/>
      <w:numFmt w:val="lowerLetter"/>
      <w:pStyle w:val="AppendixText4"/>
      <w:lvlText w:val="(%4)"/>
      <w:lvlJc w:val="left"/>
      <w:pPr>
        <w:ind w:left="1803" w:hanging="1083"/>
      </w:pPr>
      <w:rPr>
        <w:rFonts w:cs="Times New Roman"/>
      </w:rPr>
    </w:lvl>
    <w:lvl w:ilvl="4">
      <w:start w:val="1"/>
      <w:numFmt w:val="lowerRoman"/>
      <w:pStyle w:val="AppendixText5"/>
      <w:lvlText w:val="(%5)"/>
      <w:lvlJc w:val="left"/>
      <w:pPr>
        <w:tabs>
          <w:tab w:val="num" w:pos="1803"/>
        </w:tabs>
        <w:ind w:left="2523" w:hanging="720"/>
      </w:pPr>
      <w:rPr>
        <w:rFonts w:cs="Times New Roman"/>
      </w:rPr>
    </w:lvl>
    <w:lvl w:ilvl="5">
      <w:start w:val="1"/>
      <w:numFmt w:val="upperLetter"/>
      <w:pStyle w:val="AppendixText6"/>
      <w:lvlText w:val="(%6)"/>
      <w:lvlJc w:val="left"/>
      <w:pPr>
        <w:tabs>
          <w:tab w:val="num" w:pos="3243"/>
        </w:tabs>
        <w:ind w:left="3243" w:hanging="720"/>
      </w:pPr>
      <w:rPr>
        <w:rFonts w:cs="Times New Roman"/>
      </w:rPr>
    </w:lvl>
    <w:lvl w:ilvl="6">
      <w:start w:val="1"/>
      <w:numFmt w:val="none"/>
      <w:suff w:val="nothing"/>
      <w:lvlText w:val=""/>
      <w:lvlJc w:val="left"/>
      <w:pPr>
        <w:ind w:left="2523" w:hanging="720"/>
      </w:pPr>
      <w:rPr>
        <w:rFonts w:cs="Times New Roman"/>
      </w:rPr>
    </w:lvl>
    <w:lvl w:ilvl="7">
      <w:start w:val="1"/>
      <w:numFmt w:val="none"/>
      <w:suff w:val="nothing"/>
      <w:lvlText w:val=""/>
      <w:lvlJc w:val="left"/>
      <w:pPr>
        <w:ind w:left="2523" w:hanging="720"/>
      </w:pPr>
      <w:rPr>
        <w:rFonts w:cs="Times New Roman"/>
      </w:rPr>
    </w:lvl>
    <w:lvl w:ilvl="8">
      <w:start w:val="1"/>
      <w:numFmt w:val="none"/>
      <w:suff w:val="nothing"/>
      <w:lvlText w:val=""/>
      <w:lvlJc w:val="left"/>
      <w:pPr>
        <w:ind w:left="2523" w:hanging="720"/>
      </w:pPr>
      <w:rPr>
        <w:rFonts w:cs="Times New Roman"/>
      </w:rPr>
    </w:lvl>
  </w:abstractNum>
  <w:abstractNum w:abstractNumId="3" w15:restartNumberingAfterBreak="0">
    <w:nsid w:val="23116E6D"/>
    <w:multiLevelType w:val="multilevel"/>
    <w:tmpl w:val="512215A4"/>
    <w:lvl w:ilvl="0">
      <w:start w:val="1"/>
      <w:numFmt w:val="decimal"/>
      <w:pStyle w:val="AnnexHeading"/>
      <w:suff w:val="nothing"/>
      <w:lvlText w:val="Annex %1"/>
      <w:lvlJc w:val="left"/>
      <w:rPr>
        <w:rFonts w:cs="Times New Roman"/>
        <w:b w:val="0"/>
        <w:bCs w:val="0"/>
        <w:i w:val="0"/>
        <w:iCs w:val="0"/>
        <w:caps/>
        <w:smallCaps w:val="0"/>
        <w:strike w:val="0"/>
        <w:dstrike w:val="0"/>
        <w:vanish w:val="0"/>
        <w:spacing w:val="0"/>
        <w:kern w:val="0"/>
        <w:position w:val="0"/>
        <w:u w:val="none"/>
        <w:effect w:val="none"/>
        <w:vertAlign w:val="baseline"/>
      </w:rPr>
    </w:lvl>
    <w:lvl w:ilvl="1">
      <w:start w:val="1"/>
      <w:numFmt w:val="none"/>
      <w:lvlText w:val=""/>
      <w:lvlJc w:val="left"/>
      <w:pPr>
        <w:tabs>
          <w:tab w:val="num" w:pos="567"/>
        </w:tabs>
      </w:pPr>
      <w:rPr>
        <w:rFonts w:cs="Times New Roman"/>
      </w:rPr>
    </w:lvl>
    <w:lvl w:ilvl="2">
      <w:start w:val="1"/>
      <w:numFmt w:val="none"/>
      <w:lvlText w:val=""/>
      <w:lvlJc w:val="left"/>
      <w:pPr>
        <w:tabs>
          <w:tab w:val="num" w:pos="567"/>
        </w:tabs>
      </w:pPr>
      <w:rPr>
        <w:rFonts w:cs="Times New Roman"/>
      </w:rPr>
    </w:lvl>
    <w:lvl w:ilvl="3">
      <w:start w:val="1"/>
      <w:numFmt w:val="none"/>
      <w:lvlText w:val=""/>
      <w:lvlJc w:val="left"/>
      <w:pPr>
        <w:tabs>
          <w:tab w:val="num" w:pos="567"/>
        </w:tabs>
      </w:pPr>
      <w:rPr>
        <w:rFonts w:cs="Times New Roman"/>
      </w:rPr>
    </w:lvl>
    <w:lvl w:ilvl="4">
      <w:start w:val="1"/>
      <w:numFmt w:val="none"/>
      <w:lvlText w:val=""/>
      <w:lvlJc w:val="left"/>
      <w:pPr>
        <w:tabs>
          <w:tab w:val="num" w:pos="567"/>
        </w:tabs>
      </w:pPr>
      <w:rPr>
        <w:rFonts w:cs="Times New Roman"/>
      </w:rPr>
    </w:lvl>
    <w:lvl w:ilvl="5">
      <w:start w:val="1"/>
      <w:numFmt w:val="none"/>
      <w:lvlText w:val=""/>
      <w:lvlJc w:val="left"/>
      <w:pPr>
        <w:tabs>
          <w:tab w:val="num" w:pos="567"/>
        </w:tabs>
      </w:pPr>
      <w:rPr>
        <w:rFonts w:cs="Times New Roman"/>
      </w:rPr>
    </w:lvl>
    <w:lvl w:ilvl="6">
      <w:start w:val="1"/>
      <w:numFmt w:val="none"/>
      <w:lvlText w:val=""/>
      <w:lvlJc w:val="left"/>
      <w:pPr>
        <w:tabs>
          <w:tab w:val="num" w:pos="567"/>
        </w:tabs>
      </w:pPr>
      <w:rPr>
        <w:rFonts w:cs="Times New Roman"/>
      </w:rPr>
    </w:lvl>
    <w:lvl w:ilvl="7">
      <w:start w:val="1"/>
      <w:numFmt w:val="none"/>
      <w:lvlText w:val=""/>
      <w:lvlJc w:val="left"/>
      <w:pPr>
        <w:tabs>
          <w:tab w:val="num" w:pos="567"/>
        </w:tabs>
      </w:pPr>
      <w:rPr>
        <w:rFonts w:cs="Times New Roman"/>
      </w:rPr>
    </w:lvl>
    <w:lvl w:ilvl="8">
      <w:start w:val="1"/>
      <w:numFmt w:val="none"/>
      <w:lvlText w:val=""/>
      <w:lvlJc w:val="left"/>
      <w:pPr>
        <w:tabs>
          <w:tab w:val="num" w:pos="567"/>
        </w:tabs>
      </w:pPr>
      <w:rPr>
        <w:rFonts w:cs="Times New Roman"/>
      </w:rPr>
    </w:lvl>
  </w:abstractNum>
  <w:abstractNum w:abstractNumId="4" w15:restartNumberingAfterBreak="0">
    <w:nsid w:val="33724ED4"/>
    <w:multiLevelType w:val="multilevel"/>
    <w:tmpl w:val="D1CE805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5" w15:restartNumberingAfterBreak="0">
    <w:nsid w:val="34F56C0A"/>
    <w:multiLevelType w:val="multilevel"/>
    <w:tmpl w:val="034E146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FE4619D"/>
    <w:multiLevelType w:val="multilevel"/>
    <w:tmpl w:val="394207B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7" w15:restartNumberingAfterBreak="0">
    <w:nsid w:val="6B061E55"/>
    <w:multiLevelType w:val="multilevel"/>
    <w:tmpl w:val="B256377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4"/>
  </w:num>
  <w:num w:numId="2">
    <w:abstractNumId w:val="7"/>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1FE"/>
    <w:rsid w:val="000A68B8"/>
    <w:rsid w:val="00121384"/>
    <w:rsid w:val="0014751F"/>
    <w:rsid w:val="001B1131"/>
    <w:rsid w:val="001C558B"/>
    <w:rsid w:val="00211F2A"/>
    <w:rsid w:val="0022196B"/>
    <w:rsid w:val="00222FA9"/>
    <w:rsid w:val="002A5221"/>
    <w:rsid w:val="002C289F"/>
    <w:rsid w:val="003D0C0D"/>
    <w:rsid w:val="0047522F"/>
    <w:rsid w:val="00494B61"/>
    <w:rsid w:val="0057111D"/>
    <w:rsid w:val="00591620"/>
    <w:rsid w:val="005D32C2"/>
    <w:rsid w:val="005D54D2"/>
    <w:rsid w:val="006159BE"/>
    <w:rsid w:val="00656E99"/>
    <w:rsid w:val="007172FD"/>
    <w:rsid w:val="00726989"/>
    <w:rsid w:val="008819D5"/>
    <w:rsid w:val="00893916"/>
    <w:rsid w:val="008A5DEA"/>
    <w:rsid w:val="008B5A94"/>
    <w:rsid w:val="008C2687"/>
    <w:rsid w:val="008C3479"/>
    <w:rsid w:val="00935CD4"/>
    <w:rsid w:val="009B21F7"/>
    <w:rsid w:val="009D356B"/>
    <w:rsid w:val="009E11FE"/>
    <w:rsid w:val="009F1DF4"/>
    <w:rsid w:val="00A24F71"/>
    <w:rsid w:val="00A567B4"/>
    <w:rsid w:val="00A76402"/>
    <w:rsid w:val="00B0304C"/>
    <w:rsid w:val="00B33801"/>
    <w:rsid w:val="00B63DAC"/>
    <w:rsid w:val="00B8662C"/>
    <w:rsid w:val="00C2693F"/>
    <w:rsid w:val="00C621E1"/>
    <w:rsid w:val="00CC475E"/>
    <w:rsid w:val="00E752BE"/>
    <w:rsid w:val="00EB5811"/>
    <w:rsid w:val="00F231BD"/>
    <w:rsid w:val="00F25B24"/>
    <w:rsid w:val="00F80535"/>
    <w:rsid w:val="00FA7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EE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numPr>
        <w:numId w:val="6"/>
      </w:numPr>
      <w:overflowPunct/>
      <w:autoSpaceDE/>
      <w:autoSpaceDN/>
      <w:adjustRightInd/>
      <w:spacing w:before="100" w:after="20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85215">
      <w:bodyDiv w:val="1"/>
      <w:marLeft w:val="0"/>
      <w:marRight w:val="0"/>
      <w:marTop w:val="0"/>
      <w:marBottom w:val="0"/>
      <w:divBdr>
        <w:top w:val="none" w:sz="0" w:space="0" w:color="auto"/>
        <w:left w:val="none" w:sz="0" w:space="0" w:color="auto"/>
        <w:bottom w:val="none" w:sz="0" w:space="0" w:color="auto"/>
        <w:right w:val="none" w:sz="0" w:space="0" w:color="auto"/>
      </w:divBdr>
    </w:div>
    <w:div w:id="201460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6EABF55-82AE-4930-954C-675AC49E99A6}">
  <ds:schemaRefs>
    <ds:schemaRef ds:uri="http://schemas.openxmlformats.org/officeDocument/2006/bibliography"/>
  </ds:schemaRefs>
</ds:datastoreItem>
</file>

<file path=customXml/itemProps3.xml><?xml version="1.0" encoding="utf-8"?>
<ds:datastoreItem xmlns:ds="http://schemas.openxmlformats.org/officeDocument/2006/customXml" ds:itemID="{0D0DCA52-F117-4983-9F29-F7D88476A586}"/>
</file>

<file path=customXml/itemProps4.xml><?xml version="1.0" encoding="utf-8"?>
<ds:datastoreItem xmlns:ds="http://schemas.openxmlformats.org/officeDocument/2006/customXml" ds:itemID="{D7278BB7-77E9-4447-A272-6DD499EA46DF}"/>
</file>

<file path=customXml/itemProps5.xml><?xml version="1.0" encoding="utf-8"?>
<ds:datastoreItem xmlns:ds="http://schemas.openxmlformats.org/officeDocument/2006/customXml" ds:itemID="{3C7EB306-993F-428A-AA78-707DFEE67162}"/>
</file>

<file path=docProps/app.xml><?xml version="1.0" encoding="utf-8"?>
<Properties xmlns="http://schemas.openxmlformats.org/officeDocument/2006/extended-properties" xmlns:vt="http://schemas.openxmlformats.org/officeDocument/2006/docPropsVTypes">
  <Template>Normal</Template>
  <TotalTime>0</TotalTime>
  <Pages>7</Pages>
  <Words>1764</Words>
  <Characters>10060</Characters>
  <Application>Microsoft Office Word</Application>
  <DocSecurity>0</DocSecurity>
  <Lines>83</Lines>
  <Paragraphs>23</Paragraphs>
  <ScaleCrop>false</ScaleCrop>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2022-11-30T13:00:00Z</dcterms:created>
  <dcterms:modified xsi:type="dcterms:W3CDTF">2022-12-02T09:17:00Z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2022-12-02T09:17:24Z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7afcff23-4d7d-4624-9120-303af767b52e</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